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B4" w:rsidRPr="00520C6E" w:rsidRDefault="00520C6E" w:rsidP="000640AA">
      <w:pPr>
        <w:spacing w:after="0" w:line="240" w:lineRule="auto"/>
        <w:ind w:firstLine="425"/>
        <w:jc w:val="center"/>
        <w:rPr>
          <w:b/>
          <w:sz w:val="28"/>
        </w:rPr>
      </w:pPr>
      <w:bookmarkStart w:id="0" w:name="_GoBack"/>
      <w:bookmarkEnd w:id="0"/>
      <w:r w:rsidRPr="00520C6E">
        <w:rPr>
          <w:b/>
          <w:sz w:val="28"/>
        </w:rPr>
        <w:t>O</w:t>
      </w:r>
      <w:r w:rsidR="000640AA" w:rsidRPr="00520C6E">
        <w:rPr>
          <w:b/>
          <w:sz w:val="28"/>
        </w:rPr>
        <w:t>dzyskiwanie lantanowców z żelazowo-neodymowych magnesów stałych</w:t>
      </w:r>
    </w:p>
    <w:p w:rsidR="000640AA" w:rsidRPr="000640AA" w:rsidRDefault="000640AA" w:rsidP="000640AA">
      <w:pPr>
        <w:spacing w:after="240" w:line="240" w:lineRule="auto"/>
        <w:ind w:firstLine="425"/>
        <w:jc w:val="center"/>
        <w:rPr>
          <w:sz w:val="24"/>
          <w:u w:val="single"/>
        </w:rPr>
      </w:pPr>
      <w:r w:rsidRPr="000640AA">
        <w:rPr>
          <w:sz w:val="24"/>
          <w:u w:val="single"/>
        </w:rPr>
        <w:t>Anna Dańczak</w:t>
      </w:r>
    </w:p>
    <w:p w:rsidR="00D526B4" w:rsidRDefault="00D526B4" w:rsidP="00D526B4">
      <w:pPr>
        <w:spacing w:after="0" w:line="240" w:lineRule="auto"/>
        <w:ind w:firstLine="425"/>
        <w:jc w:val="both"/>
        <w:rPr>
          <w:sz w:val="24"/>
        </w:rPr>
      </w:pPr>
      <w:r w:rsidRPr="00D526B4">
        <w:rPr>
          <w:sz w:val="24"/>
        </w:rPr>
        <w:t>Według Komisji Europejskiej około 13</w:t>
      </w:r>
      <w:r>
        <w:rPr>
          <w:sz w:val="24"/>
        </w:rPr>
        <w:t xml:space="preserve"> </w:t>
      </w:r>
      <w:r w:rsidRPr="00D526B4">
        <w:rPr>
          <w:sz w:val="24"/>
        </w:rPr>
        <w:t xml:space="preserve">% światowego wydobycia neodymu </w:t>
      </w:r>
      <w:r>
        <w:rPr>
          <w:sz w:val="24"/>
        </w:rPr>
        <w:t xml:space="preserve">wykorzystywanych jest </w:t>
      </w:r>
      <w:r w:rsidR="000640AA">
        <w:rPr>
          <w:sz w:val="24"/>
        </w:rPr>
        <w:t xml:space="preserve">obecnie </w:t>
      </w:r>
      <w:r w:rsidRPr="00D526B4">
        <w:rPr>
          <w:sz w:val="24"/>
        </w:rPr>
        <w:t xml:space="preserve">do produkcji </w:t>
      </w:r>
      <w:r>
        <w:rPr>
          <w:sz w:val="24"/>
        </w:rPr>
        <w:t xml:space="preserve">neodymowo-żelazowych </w:t>
      </w:r>
      <w:r w:rsidRPr="00D526B4">
        <w:rPr>
          <w:sz w:val="24"/>
        </w:rPr>
        <w:t xml:space="preserve">magnesów </w:t>
      </w:r>
      <w:r>
        <w:rPr>
          <w:sz w:val="24"/>
        </w:rPr>
        <w:t>stałych.</w:t>
      </w:r>
      <w:r w:rsidRPr="00D526B4">
        <w:rPr>
          <w:sz w:val="24"/>
        </w:rPr>
        <w:t xml:space="preserve"> Magnesy te są niezbędnymi materiałami w </w:t>
      </w:r>
      <w:r w:rsidR="000640AA">
        <w:rPr>
          <w:sz w:val="24"/>
        </w:rPr>
        <w:t>takich u</w:t>
      </w:r>
      <w:r>
        <w:rPr>
          <w:sz w:val="24"/>
        </w:rPr>
        <w:t>rządzeniach</w:t>
      </w:r>
      <w:r w:rsidR="000640AA">
        <w:rPr>
          <w:sz w:val="24"/>
        </w:rPr>
        <w:t>,</w:t>
      </w:r>
      <w:r>
        <w:rPr>
          <w:sz w:val="24"/>
        </w:rPr>
        <w:t xml:space="preserve"> jak komputerowe </w:t>
      </w:r>
      <w:r w:rsidR="000640AA">
        <w:rPr>
          <w:sz w:val="24"/>
        </w:rPr>
        <w:t>dyski twarde</w:t>
      </w:r>
      <w:r w:rsidRPr="00D526B4">
        <w:rPr>
          <w:sz w:val="24"/>
        </w:rPr>
        <w:t xml:space="preserve">, wysoce wydajne klimatyzatory, pojazdy </w:t>
      </w:r>
      <w:r>
        <w:rPr>
          <w:sz w:val="24"/>
        </w:rPr>
        <w:t xml:space="preserve">o napędzie hybrydowym oraz turbiny elektrowni wiatrowych. </w:t>
      </w:r>
      <w:r w:rsidR="000640AA">
        <w:rPr>
          <w:sz w:val="24"/>
        </w:rPr>
        <w:t>Zastosowane w tych urządzeniach m</w:t>
      </w:r>
      <w:r w:rsidRPr="00D526B4">
        <w:rPr>
          <w:sz w:val="24"/>
        </w:rPr>
        <w:t xml:space="preserve">agnesy </w:t>
      </w:r>
      <w:r w:rsidR="000640AA">
        <w:rPr>
          <w:sz w:val="24"/>
        </w:rPr>
        <w:t>s</w:t>
      </w:r>
      <w:r>
        <w:rPr>
          <w:sz w:val="24"/>
        </w:rPr>
        <w:t xml:space="preserve">tałe </w:t>
      </w:r>
      <w:r w:rsidRPr="00D526B4">
        <w:rPr>
          <w:sz w:val="24"/>
        </w:rPr>
        <w:t>zawierają około 30</w:t>
      </w:r>
      <w:r w:rsidR="000640AA">
        <w:rPr>
          <w:sz w:val="24"/>
        </w:rPr>
        <w:t> </w:t>
      </w:r>
      <w:r w:rsidRPr="00D526B4">
        <w:rPr>
          <w:sz w:val="24"/>
        </w:rPr>
        <w:t xml:space="preserve">% </w:t>
      </w:r>
      <w:r>
        <w:rPr>
          <w:sz w:val="24"/>
        </w:rPr>
        <w:t xml:space="preserve">lantanowców </w:t>
      </w:r>
      <w:r w:rsidRPr="00D526B4">
        <w:rPr>
          <w:sz w:val="24"/>
        </w:rPr>
        <w:t>(głównie neodym</w:t>
      </w:r>
      <w:r w:rsidR="00D81B91">
        <w:rPr>
          <w:sz w:val="24"/>
        </w:rPr>
        <w:t xml:space="preserve"> oraz prazeodymu, dysprozu i terb</w:t>
      </w:r>
      <w:r w:rsidRPr="00D526B4">
        <w:rPr>
          <w:sz w:val="24"/>
        </w:rPr>
        <w:t xml:space="preserve">). Wszystkie </w:t>
      </w:r>
      <w:r w:rsidR="002272A7">
        <w:rPr>
          <w:sz w:val="24"/>
        </w:rPr>
        <w:t>te </w:t>
      </w:r>
      <w:r w:rsidR="000640AA">
        <w:rPr>
          <w:sz w:val="24"/>
        </w:rPr>
        <w:t xml:space="preserve">pierwiastki </w:t>
      </w:r>
      <w:r w:rsidRPr="00D526B4">
        <w:rPr>
          <w:sz w:val="24"/>
        </w:rPr>
        <w:t>uważane</w:t>
      </w:r>
      <w:r>
        <w:rPr>
          <w:sz w:val="24"/>
        </w:rPr>
        <w:t xml:space="preserve"> są </w:t>
      </w:r>
      <w:r w:rsidRPr="00D526B4">
        <w:rPr>
          <w:sz w:val="24"/>
        </w:rPr>
        <w:t xml:space="preserve">przez Komisję Europejską </w:t>
      </w:r>
      <w:r>
        <w:rPr>
          <w:sz w:val="24"/>
        </w:rPr>
        <w:t>za „</w:t>
      </w:r>
      <w:r w:rsidRPr="00D526B4">
        <w:rPr>
          <w:sz w:val="24"/>
        </w:rPr>
        <w:t>metale</w:t>
      </w:r>
      <w:r>
        <w:rPr>
          <w:sz w:val="24"/>
        </w:rPr>
        <w:t xml:space="preserve"> krytyczne”</w:t>
      </w:r>
      <w:r w:rsidRPr="00D526B4">
        <w:rPr>
          <w:sz w:val="24"/>
        </w:rPr>
        <w:t>.</w:t>
      </w:r>
    </w:p>
    <w:p w:rsidR="00D526B4" w:rsidRPr="0029693A" w:rsidRDefault="00D526B4" w:rsidP="00D526B4">
      <w:pPr>
        <w:spacing w:after="0" w:line="240" w:lineRule="auto"/>
        <w:ind w:firstLine="425"/>
        <w:jc w:val="both"/>
        <w:rPr>
          <w:sz w:val="24"/>
        </w:rPr>
      </w:pPr>
      <w:r>
        <w:rPr>
          <w:sz w:val="24"/>
          <w:szCs w:val="24"/>
        </w:rPr>
        <w:t xml:space="preserve">Szczególnie obiecującym źródłem lantanowców są żelazowo-neodymowe magnesy stałe pochodzące ze zużytych komputerowych dysków twardych. Z danych szacunkowych wynika, że </w:t>
      </w:r>
      <w:r w:rsidRPr="005311BE">
        <w:rPr>
          <w:rFonts w:cstheme="minorHAnsi"/>
          <w:color w:val="000000" w:themeColor="text1"/>
          <w:sz w:val="24"/>
          <w:szCs w:val="24"/>
        </w:rPr>
        <w:t xml:space="preserve">roczna masa odpadowych magnesów </w:t>
      </w:r>
      <w:r>
        <w:rPr>
          <w:rFonts w:cstheme="minorHAnsi"/>
          <w:color w:val="000000" w:themeColor="text1"/>
          <w:sz w:val="24"/>
          <w:szCs w:val="24"/>
        </w:rPr>
        <w:t xml:space="preserve">w Polsce </w:t>
      </w:r>
      <w:r w:rsidRPr="005311BE">
        <w:rPr>
          <w:rFonts w:cstheme="minorHAnsi"/>
          <w:color w:val="000000" w:themeColor="text1"/>
          <w:sz w:val="24"/>
          <w:szCs w:val="24"/>
        </w:rPr>
        <w:t xml:space="preserve">wynosi około 50 </w:t>
      </w:r>
      <w:r w:rsidR="00D81B91">
        <w:rPr>
          <w:rFonts w:cstheme="minorHAnsi"/>
          <w:color w:val="000000" w:themeColor="text1"/>
          <w:sz w:val="24"/>
          <w:szCs w:val="24"/>
        </w:rPr>
        <w:t>ton</w:t>
      </w:r>
      <w:r w:rsidRPr="005311BE">
        <w:rPr>
          <w:rFonts w:cstheme="minorHAnsi"/>
          <w:color w:val="000000" w:themeColor="text1"/>
          <w:sz w:val="24"/>
          <w:szCs w:val="24"/>
        </w:rPr>
        <w:t>. Przy średniej zawartości lantanowców na poziomie 30</w:t>
      </w:r>
      <w:r>
        <w:rPr>
          <w:rFonts w:cstheme="minorHAnsi"/>
          <w:color w:val="000000" w:themeColor="text1"/>
          <w:sz w:val="24"/>
          <w:szCs w:val="24"/>
        </w:rPr>
        <w:t xml:space="preserve"> % daje to </w:t>
      </w:r>
      <w:r w:rsidRPr="005311BE">
        <w:rPr>
          <w:rFonts w:cstheme="minorHAnsi"/>
          <w:color w:val="000000" w:themeColor="text1"/>
          <w:sz w:val="24"/>
          <w:szCs w:val="24"/>
        </w:rPr>
        <w:t xml:space="preserve">około 15 </w:t>
      </w:r>
      <w:r w:rsidR="00D81B91">
        <w:rPr>
          <w:rFonts w:cstheme="minorHAnsi"/>
          <w:color w:val="000000" w:themeColor="text1"/>
          <w:sz w:val="24"/>
          <w:szCs w:val="24"/>
        </w:rPr>
        <w:t>ton</w:t>
      </w:r>
      <w:r w:rsidRPr="005311BE">
        <w:rPr>
          <w:rFonts w:cstheme="minorHAnsi"/>
          <w:color w:val="000000" w:themeColor="text1"/>
          <w:sz w:val="24"/>
          <w:szCs w:val="24"/>
        </w:rPr>
        <w:t xml:space="preserve"> tych </w:t>
      </w:r>
      <w:r>
        <w:rPr>
          <w:rFonts w:cstheme="minorHAnsi"/>
          <w:color w:val="000000" w:themeColor="text1"/>
          <w:sz w:val="24"/>
          <w:szCs w:val="24"/>
        </w:rPr>
        <w:t>s</w:t>
      </w:r>
      <w:r w:rsidRPr="005311BE">
        <w:rPr>
          <w:rFonts w:cstheme="minorHAnsi"/>
          <w:color w:val="000000" w:themeColor="text1"/>
          <w:sz w:val="24"/>
          <w:szCs w:val="24"/>
        </w:rPr>
        <w:t>urowców</w:t>
      </w:r>
      <w:r>
        <w:rPr>
          <w:rFonts w:cstheme="minorHAnsi"/>
          <w:color w:val="000000" w:themeColor="text1"/>
          <w:sz w:val="24"/>
          <w:szCs w:val="24"/>
        </w:rPr>
        <w:t>. Recykling magnesów</w:t>
      </w:r>
      <w:r w:rsidR="00D81B91">
        <w:rPr>
          <w:rFonts w:cstheme="minorHAnsi"/>
          <w:color w:val="000000" w:themeColor="text1"/>
          <w:sz w:val="24"/>
          <w:szCs w:val="24"/>
        </w:rPr>
        <w:t xml:space="preserve"> stałych może przyczynić się do </w:t>
      </w:r>
      <w:r>
        <w:rPr>
          <w:rFonts w:cstheme="minorHAnsi"/>
          <w:color w:val="000000" w:themeColor="text1"/>
          <w:sz w:val="24"/>
          <w:szCs w:val="24"/>
        </w:rPr>
        <w:t xml:space="preserve">zwiększenia dostępności lantanowców uznawanych przez Komisję Europejską za surowce krytyczne. </w:t>
      </w:r>
    </w:p>
    <w:p w:rsidR="00D526B4" w:rsidRDefault="00D526B4" w:rsidP="00D526B4">
      <w:pPr>
        <w:pStyle w:val="Tekstpodstawowyzwciciem"/>
        <w:spacing w:after="0" w:line="240" w:lineRule="auto"/>
        <w:ind w:firstLine="425"/>
        <w:jc w:val="both"/>
        <w:rPr>
          <w:rFonts w:cstheme="minorHAnsi"/>
          <w:color w:val="000000" w:themeColor="text1"/>
          <w:sz w:val="24"/>
          <w:szCs w:val="24"/>
        </w:rPr>
      </w:pPr>
      <w:r w:rsidRPr="004B196B">
        <w:rPr>
          <w:sz w:val="24"/>
          <w:szCs w:val="24"/>
        </w:rPr>
        <w:t xml:space="preserve">W literaturze zaproponowano wiele metod odzysku </w:t>
      </w:r>
      <w:r>
        <w:rPr>
          <w:sz w:val="24"/>
          <w:szCs w:val="24"/>
        </w:rPr>
        <w:t xml:space="preserve">lantanowców z magnesów stałych. </w:t>
      </w:r>
      <w:r>
        <w:rPr>
          <w:rFonts w:cstheme="minorHAnsi"/>
          <w:color w:val="000000" w:themeColor="text1"/>
          <w:sz w:val="24"/>
          <w:szCs w:val="24"/>
        </w:rPr>
        <w:t>Tradycyjnym podejściem do odzysku MZR z magnesów stałych są metody hydrometalurgiczne.</w:t>
      </w:r>
      <w:r w:rsidR="00D81B91">
        <w:rPr>
          <w:rFonts w:cstheme="minorHAnsi"/>
          <w:color w:val="000000" w:themeColor="text1"/>
          <w:sz w:val="24"/>
          <w:szCs w:val="24"/>
        </w:rPr>
        <w:t xml:space="preserve"> Procesy te </w:t>
      </w:r>
      <w:r>
        <w:rPr>
          <w:rFonts w:cstheme="minorHAnsi"/>
          <w:color w:val="000000" w:themeColor="text1"/>
          <w:sz w:val="24"/>
          <w:szCs w:val="24"/>
        </w:rPr>
        <w:t>stosowane są jednak jedynie w skali laboratoryjnej.</w:t>
      </w:r>
      <w:r>
        <w:rPr>
          <w:sz w:val="24"/>
          <w:szCs w:val="24"/>
        </w:rPr>
        <w:t xml:space="preserve"> Zastosowanie tych metod w skali przemysłowej jest utrudnione ze względu na wiele operacji jednostkowych oraz zużycie wielu odczynników chemicznych</w:t>
      </w:r>
      <w:r w:rsidR="00FF0C36">
        <w:rPr>
          <w:rFonts w:cstheme="minorHAnsi"/>
          <w:color w:val="000000" w:themeColor="text1"/>
          <w:sz w:val="24"/>
          <w:szCs w:val="24"/>
        </w:rPr>
        <w:t>, które znacznie wydłużają i </w:t>
      </w:r>
      <w:r>
        <w:rPr>
          <w:rFonts w:cstheme="minorHAnsi"/>
          <w:color w:val="000000" w:themeColor="text1"/>
          <w:sz w:val="24"/>
          <w:szCs w:val="24"/>
        </w:rPr>
        <w:t>komplikują proces odzysku lantanowców.</w:t>
      </w:r>
    </w:p>
    <w:p w:rsidR="00D526B4" w:rsidRDefault="00D526B4" w:rsidP="00D526B4">
      <w:pPr>
        <w:pStyle w:val="Tekstpodstawowyzwciciem"/>
        <w:spacing w:after="0" w:line="240" w:lineRule="auto"/>
        <w:ind w:firstLine="42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Celem badań przeprowadzonych w ramach niniejszej pracy było opracowanie pr</w:t>
      </w:r>
      <w:r w:rsidR="00FF0C36">
        <w:rPr>
          <w:rFonts w:cstheme="minorHAnsi"/>
          <w:color w:val="000000" w:themeColor="text1"/>
          <w:sz w:val="24"/>
          <w:szCs w:val="24"/>
        </w:rPr>
        <w:t>ostej i </w:t>
      </w:r>
      <w:r>
        <w:rPr>
          <w:rFonts w:cstheme="minorHAnsi"/>
          <w:color w:val="000000" w:themeColor="text1"/>
          <w:sz w:val="24"/>
          <w:szCs w:val="24"/>
        </w:rPr>
        <w:t xml:space="preserve">skutecznej metody odzysku lantanowców z żelazowo-neodymowych magnesów stałych opartej na procesach hydrometalurgicznych. </w:t>
      </w:r>
    </w:p>
    <w:p w:rsidR="00D526B4" w:rsidRDefault="00D526B4" w:rsidP="00D526B4">
      <w:pPr>
        <w:pStyle w:val="Tekstpodstawowyzwciciem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wyniku przeprowadzonych badań stwierdzono, że: </w:t>
      </w:r>
    </w:p>
    <w:p w:rsidR="00D526B4" w:rsidRDefault="00D526B4" w:rsidP="00D526B4">
      <w:pPr>
        <w:pStyle w:val="Tekstpodstawowyzwciciem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żelazowo-neodymowe magnesy stałe są materiałem heterogenicznym – ich skład zmienia się w szerokim zakresie i nie jest związany z parametrami komputerowych dysków twardych;</w:t>
      </w:r>
    </w:p>
    <w:p w:rsidR="00D526B4" w:rsidRPr="0023428A" w:rsidRDefault="00D526B4" w:rsidP="00D526B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3428A">
        <w:rPr>
          <w:rFonts w:eastAsia="Times New Roman" w:cstheme="minorHAnsi"/>
          <w:color w:val="000000"/>
          <w:sz w:val="24"/>
          <w:szCs w:val="24"/>
        </w:rPr>
        <w:t>operacje jednostkowe kruszenia i mielenia magnesów, jak również prażenia utleniającego można wyeliminować z procesu przeróbki</w:t>
      </w:r>
      <w:r>
        <w:rPr>
          <w:rFonts w:eastAsia="Times New Roman" w:cstheme="minorHAnsi"/>
          <w:color w:val="000000"/>
          <w:sz w:val="24"/>
          <w:szCs w:val="24"/>
        </w:rPr>
        <w:t>;</w:t>
      </w:r>
    </w:p>
    <w:p w:rsidR="00D526B4" w:rsidRDefault="00D526B4" w:rsidP="00D526B4">
      <w:pPr>
        <w:pStyle w:val="Tekstpodstawowyzwcici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jako nadawę w procesie ługowania można zastosować całe magnesy niepoddawane wcześniej żadnym procesom przeróbki;</w:t>
      </w:r>
    </w:p>
    <w:p w:rsidR="00D526B4" w:rsidRDefault="00D526B4" w:rsidP="00D526B4">
      <w:pPr>
        <w:pStyle w:val="Tekstpodstawowyzwcici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przeprowadzenie demagnetyzacji oraz łamania magnesów przed procesem ich ługowania pozwala na przyspieszenie procesu i całkowite roztworzenie magnesów;</w:t>
      </w:r>
    </w:p>
    <w:p w:rsidR="00D526B4" w:rsidRDefault="00D526B4" w:rsidP="00D526B4">
      <w:pPr>
        <w:pStyle w:val="Tekstpodstawowyzwcici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zastosowanie roztworów kwasu siarkowego(VI) oraz kwasu chlorowodorow</w:t>
      </w:r>
      <w:r w:rsidR="00FF0C36">
        <w:rPr>
          <w:rFonts w:cstheme="minorHAnsi"/>
          <w:color w:val="000000" w:themeColor="text1"/>
          <w:sz w:val="24"/>
          <w:szCs w:val="24"/>
        </w:rPr>
        <w:t>ego o </w:t>
      </w:r>
      <w:r>
        <w:rPr>
          <w:rFonts w:cstheme="minorHAnsi"/>
          <w:color w:val="000000" w:themeColor="text1"/>
          <w:sz w:val="24"/>
          <w:szCs w:val="24"/>
        </w:rPr>
        <w:t>stężeniach odpowiednio 1 mol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·</w:t>
      </w:r>
      <w:r>
        <w:rPr>
          <w:rFonts w:cstheme="minorHAnsi"/>
          <w:color w:val="000000" w:themeColor="text1"/>
          <w:sz w:val="24"/>
          <w:szCs w:val="24"/>
        </w:rPr>
        <w:t>dm</w:t>
      </w:r>
      <w:r w:rsidRPr="00C94AD6">
        <w:rPr>
          <w:rFonts w:cstheme="minorHAnsi"/>
          <w:color w:val="000000" w:themeColor="text1"/>
          <w:sz w:val="24"/>
          <w:szCs w:val="24"/>
          <w:vertAlign w:val="superscript"/>
        </w:rPr>
        <w:t>-3</w:t>
      </w:r>
      <w:r>
        <w:rPr>
          <w:rFonts w:cstheme="minorHAnsi"/>
          <w:color w:val="000000" w:themeColor="text1"/>
          <w:sz w:val="24"/>
          <w:szCs w:val="24"/>
        </w:rPr>
        <w:t xml:space="preserve"> i 2 mol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·</w:t>
      </w:r>
      <w:r>
        <w:rPr>
          <w:rFonts w:cstheme="minorHAnsi"/>
          <w:color w:val="000000" w:themeColor="text1"/>
          <w:sz w:val="24"/>
          <w:szCs w:val="24"/>
        </w:rPr>
        <w:t>dm</w:t>
      </w:r>
      <w:r w:rsidRPr="00C94AD6">
        <w:rPr>
          <w:rFonts w:cstheme="minorHAnsi"/>
          <w:color w:val="000000" w:themeColor="text1"/>
          <w:sz w:val="24"/>
          <w:szCs w:val="24"/>
          <w:vertAlign w:val="superscript"/>
        </w:rPr>
        <w:t>-3</w:t>
      </w:r>
      <w:r>
        <w:rPr>
          <w:rFonts w:cstheme="minorHAnsi"/>
          <w:color w:val="000000" w:themeColor="text1"/>
          <w:sz w:val="24"/>
          <w:szCs w:val="24"/>
        </w:rPr>
        <w:t xml:space="preserve"> oraz 2 mol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·</w:t>
      </w:r>
      <w:r>
        <w:rPr>
          <w:rFonts w:cstheme="minorHAnsi"/>
          <w:color w:val="000000" w:themeColor="text1"/>
          <w:sz w:val="24"/>
          <w:szCs w:val="24"/>
        </w:rPr>
        <w:t>dm</w:t>
      </w:r>
      <w:r w:rsidRPr="00C94AD6">
        <w:rPr>
          <w:rFonts w:cstheme="minorHAnsi"/>
          <w:color w:val="000000" w:themeColor="text1"/>
          <w:sz w:val="24"/>
          <w:szCs w:val="24"/>
          <w:vertAlign w:val="superscript"/>
        </w:rPr>
        <w:t>-3</w:t>
      </w:r>
      <w:r>
        <w:rPr>
          <w:rFonts w:cstheme="minorHAnsi"/>
          <w:color w:val="000000" w:themeColor="text1"/>
          <w:sz w:val="24"/>
          <w:szCs w:val="24"/>
        </w:rPr>
        <w:t xml:space="preserve"> i 4 mol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·</w:t>
      </w:r>
      <w:r>
        <w:rPr>
          <w:rFonts w:cstheme="minorHAnsi"/>
          <w:color w:val="000000" w:themeColor="text1"/>
          <w:sz w:val="24"/>
          <w:szCs w:val="24"/>
        </w:rPr>
        <w:t>dm</w:t>
      </w:r>
      <w:r w:rsidRPr="00C94AD6">
        <w:rPr>
          <w:rFonts w:cstheme="minorHAnsi"/>
          <w:color w:val="000000" w:themeColor="text1"/>
          <w:sz w:val="24"/>
          <w:szCs w:val="24"/>
          <w:vertAlign w:val="superscript"/>
        </w:rPr>
        <w:t>-3</w:t>
      </w:r>
      <w:r>
        <w:rPr>
          <w:rFonts w:cstheme="minorHAnsi"/>
          <w:color w:val="000000" w:themeColor="text1"/>
          <w:sz w:val="24"/>
          <w:szCs w:val="24"/>
        </w:rPr>
        <w:t xml:space="preserve">  pozwala na selektywne roztworzenie żelaza i lantanowców i pozostawienie niklu (tworzącego ochronną warstwę magnesu) w fazie stałej</w:t>
      </w:r>
      <w:r w:rsidR="00D81B91">
        <w:rPr>
          <w:rFonts w:cstheme="minorHAnsi"/>
          <w:color w:val="000000" w:themeColor="text1"/>
          <w:sz w:val="24"/>
          <w:szCs w:val="24"/>
        </w:rPr>
        <w:t>;</w:t>
      </w:r>
    </w:p>
    <w:p w:rsidR="00D526B4" w:rsidRPr="00C66676" w:rsidRDefault="00D526B4" w:rsidP="00D526B4">
      <w:pPr>
        <w:pStyle w:val="Tekstpodstawowyzwcici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C66676">
        <w:rPr>
          <w:rFonts w:cstheme="minorHAnsi"/>
          <w:color w:val="000000" w:themeColor="text1"/>
          <w:sz w:val="24"/>
          <w:szCs w:val="24"/>
        </w:rPr>
        <w:t>podwyższenie temperatury i stężenia czynnika ługującego powoduje skrócenie czasu ługowa</w:t>
      </w:r>
      <w:r>
        <w:rPr>
          <w:rFonts w:cstheme="minorHAnsi"/>
          <w:color w:val="000000" w:themeColor="text1"/>
          <w:sz w:val="24"/>
          <w:szCs w:val="24"/>
        </w:rPr>
        <w:t>nia;</w:t>
      </w:r>
    </w:p>
    <w:p w:rsidR="00D526B4" w:rsidRDefault="00D526B4" w:rsidP="00D526B4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428A">
        <w:rPr>
          <w:rFonts w:eastAsia="Times New Roman" w:cstheme="minorHAnsi"/>
          <w:color w:val="000000"/>
          <w:sz w:val="24"/>
          <w:szCs w:val="24"/>
        </w:rPr>
        <w:t>lantanowce zawarte w roztworze po ługowaniu</w:t>
      </w:r>
      <w:r>
        <w:rPr>
          <w:rFonts w:eastAsia="Times New Roman" w:cstheme="minorHAnsi"/>
          <w:color w:val="000000"/>
          <w:sz w:val="24"/>
          <w:szCs w:val="24"/>
        </w:rPr>
        <w:t xml:space="preserve"> można selektywnie oddzielić od </w:t>
      </w:r>
      <w:r w:rsidRPr="0023428A">
        <w:rPr>
          <w:rFonts w:eastAsia="Times New Roman" w:cstheme="minorHAnsi"/>
          <w:color w:val="000000"/>
          <w:sz w:val="24"/>
          <w:szCs w:val="24"/>
        </w:rPr>
        <w:t>żelaza</w:t>
      </w:r>
      <w:r>
        <w:rPr>
          <w:rFonts w:eastAsia="Times New Roman" w:cstheme="minorHAnsi"/>
          <w:color w:val="000000"/>
          <w:sz w:val="24"/>
          <w:szCs w:val="24"/>
        </w:rPr>
        <w:t xml:space="preserve"> oraz innych składników roztworu poprzez bezpośrednie wydzielenie lantanowców w postaci szczawianów;</w:t>
      </w:r>
    </w:p>
    <w:p w:rsidR="00D526B4" w:rsidRPr="00742853" w:rsidRDefault="00D526B4" w:rsidP="00D526B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</w:rPr>
      </w:pPr>
      <w:r w:rsidRPr="0023428A">
        <w:rPr>
          <w:rFonts w:eastAsia="Times New Roman" w:cstheme="minorHAnsi"/>
          <w:color w:val="000000"/>
          <w:sz w:val="24"/>
          <w:szCs w:val="24"/>
        </w:rPr>
        <w:t>roztwory po ługowaniu</w:t>
      </w:r>
      <w:r>
        <w:rPr>
          <w:rFonts w:eastAsia="Times New Roman" w:cstheme="minorHAnsi"/>
          <w:color w:val="000000"/>
          <w:sz w:val="24"/>
          <w:szCs w:val="24"/>
        </w:rPr>
        <w:t xml:space="preserve"> roztworami kwasu chlorowodorowego</w:t>
      </w:r>
      <w:r w:rsidRPr="0023428A">
        <w:rPr>
          <w:rFonts w:eastAsia="Times New Roman" w:cstheme="minorHAnsi"/>
          <w:color w:val="000000"/>
          <w:sz w:val="24"/>
          <w:szCs w:val="24"/>
        </w:rPr>
        <w:t xml:space="preserve"> i wyd</w:t>
      </w:r>
      <w:r>
        <w:rPr>
          <w:rFonts w:eastAsia="Times New Roman" w:cstheme="minorHAnsi"/>
          <w:color w:val="000000"/>
          <w:sz w:val="24"/>
          <w:szCs w:val="24"/>
        </w:rPr>
        <w:t>zieleniu z nich lantanowców</w:t>
      </w:r>
      <w:r w:rsidRPr="0023428A">
        <w:rPr>
          <w:rFonts w:eastAsia="Times New Roman" w:cstheme="minorHAnsi"/>
          <w:color w:val="000000"/>
          <w:sz w:val="24"/>
          <w:szCs w:val="24"/>
        </w:rPr>
        <w:t xml:space="preserve"> mog</w:t>
      </w:r>
      <w:r>
        <w:rPr>
          <w:rFonts w:eastAsia="Times New Roman" w:cstheme="minorHAnsi"/>
          <w:color w:val="000000"/>
          <w:sz w:val="24"/>
          <w:szCs w:val="24"/>
        </w:rPr>
        <w:t>ą</w:t>
      </w:r>
      <w:r w:rsidRPr="0023428A">
        <w:rPr>
          <w:rFonts w:eastAsia="Times New Roman" w:cstheme="minorHAnsi"/>
          <w:color w:val="000000"/>
          <w:sz w:val="24"/>
          <w:szCs w:val="24"/>
        </w:rPr>
        <w:t xml:space="preserve"> być zawrócone (po korekcie stęże</w:t>
      </w:r>
      <w:r>
        <w:rPr>
          <w:rFonts w:eastAsia="Times New Roman" w:cstheme="minorHAnsi"/>
          <w:color w:val="000000"/>
          <w:sz w:val="24"/>
          <w:szCs w:val="24"/>
        </w:rPr>
        <w:t>nia kwasu) do procesu ługowania.</w:t>
      </w:r>
    </w:p>
    <w:p w:rsidR="00D526B4" w:rsidRPr="009936F7" w:rsidRDefault="00D526B4" w:rsidP="00D526B4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Opracowana w niniejszej pracy metoda</w:t>
      </w:r>
      <w:r w:rsidR="00AE16D7">
        <w:rPr>
          <w:sz w:val="24"/>
          <w:szCs w:val="24"/>
        </w:rPr>
        <w:t xml:space="preserve"> odzysku lantanowców z żelazowo</w:t>
      </w:r>
      <w:r>
        <w:rPr>
          <w:sz w:val="24"/>
          <w:szCs w:val="24"/>
        </w:rPr>
        <w:t xml:space="preserve">-neodymowych magnesów stałych różni się zasadniczo od metod opisanych w literaturze. Jej zaletą jest wyeliminowanie wielu operacji jednostkowych, co znacznie </w:t>
      </w:r>
      <w:r w:rsidRPr="009936F7">
        <w:rPr>
          <w:sz w:val="24"/>
          <w:szCs w:val="24"/>
        </w:rPr>
        <w:t>uprościło proces recyklingu. Schemat blokowy opracowane</w:t>
      </w:r>
      <w:r w:rsidR="00D81B91">
        <w:rPr>
          <w:sz w:val="24"/>
          <w:szCs w:val="24"/>
        </w:rPr>
        <w:t>j metody przedstawiono na Rys. 1</w:t>
      </w:r>
      <w:r w:rsidRPr="009936F7">
        <w:rPr>
          <w:sz w:val="24"/>
          <w:szCs w:val="24"/>
        </w:rPr>
        <w:t xml:space="preserve">. </w:t>
      </w:r>
    </w:p>
    <w:p w:rsidR="00D526B4" w:rsidRDefault="00D526B4" w:rsidP="00D526B4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AE16D7">
        <w:rPr>
          <w:sz w:val="24"/>
          <w:szCs w:val="24"/>
        </w:rPr>
        <w:t xml:space="preserve">opracowanej metodzie magnesy po </w:t>
      </w:r>
      <w:r>
        <w:rPr>
          <w:sz w:val="24"/>
          <w:szCs w:val="24"/>
        </w:rPr>
        <w:t>demagnetyza</w:t>
      </w:r>
      <w:r w:rsidR="00FF0C36">
        <w:rPr>
          <w:sz w:val="24"/>
          <w:szCs w:val="24"/>
        </w:rPr>
        <w:t>cji i połamaniu kierowane są</w:t>
      </w:r>
      <w:r w:rsidR="00AE16D7">
        <w:rPr>
          <w:sz w:val="24"/>
          <w:szCs w:val="24"/>
        </w:rPr>
        <w:t xml:space="preserve"> do </w:t>
      </w:r>
      <w:r>
        <w:rPr>
          <w:sz w:val="24"/>
          <w:szCs w:val="24"/>
        </w:rPr>
        <w:t>procesu ługowania kwasem chlorowodorowym. Ługownie prowadzone jest w temperaturze otoczenia</w:t>
      </w:r>
      <w:r w:rsidR="00AE16D7">
        <w:rPr>
          <w:sz w:val="24"/>
          <w:szCs w:val="24"/>
        </w:rPr>
        <w:t xml:space="preserve"> pod ciśnieniem atmosferycznym</w:t>
      </w:r>
      <w:r>
        <w:rPr>
          <w:sz w:val="24"/>
          <w:szCs w:val="24"/>
        </w:rPr>
        <w:t>. Stała pozostałość po ługo</w:t>
      </w:r>
      <w:r w:rsidR="00FF0C36">
        <w:rPr>
          <w:sz w:val="24"/>
          <w:szCs w:val="24"/>
        </w:rPr>
        <w:t>waniu (nieroztworzone magnesy i </w:t>
      </w:r>
      <w:r>
        <w:rPr>
          <w:sz w:val="24"/>
          <w:szCs w:val="24"/>
        </w:rPr>
        <w:t>nikiel) zawracana jest do procesu kolejnego ługowania. Z roztworu po ługowaniu wytrącane są szczawiany lantanowców, a roztwór po korekcie stężenia kwasu chlorowodorowego jest zawracany do kolejnego ługowania.</w:t>
      </w:r>
      <w:r w:rsidR="00AE16D7">
        <w:rPr>
          <w:sz w:val="24"/>
          <w:szCs w:val="24"/>
        </w:rPr>
        <w:t xml:space="preserve"> </w:t>
      </w:r>
      <w:r>
        <w:rPr>
          <w:sz w:val="24"/>
          <w:szCs w:val="24"/>
        </w:rPr>
        <w:t>Po do</w:t>
      </w:r>
      <w:r w:rsidR="00AE16D7">
        <w:rPr>
          <w:sz w:val="24"/>
          <w:szCs w:val="24"/>
        </w:rPr>
        <w:t>konaniu cyklu zawrotów odzyskiwany jest</w:t>
      </w:r>
      <w:r>
        <w:rPr>
          <w:sz w:val="24"/>
          <w:szCs w:val="24"/>
        </w:rPr>
        <w:t xml:space="preserve"> metaliczny nikiel, który nie ulega ługowaniu.</w:t>
      </w:r>
      <w:r w:rsidR="00D81B91">
        <w:rPr>
          <w:sz w:val="24"/>
          <w:szCs w:val="24"/>
        </w:rPr>
        <w:t xml:space="preserve"> </w:t>
      </w:r>
      <w:r>
        <w:rPr>
          <w:sz w:val="24"/>
          <w:szCs w:val="24"/>
        </w:rPr>
        <w:t>Szczawiany lantanowców po przemyciu wodą poddawane są rozkładowi termicznemu do tlenków.</w:t>
      </w:r>
    </w:p>
    <w:p w:rsidR="00D526B4" w:rsidRDefault="00D526B4" w:rsidP="00D526B4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Próby prowadzone w skali wielkolaboratoryjnej (kilogramowej) potwierdziły wyniki uzyskane w skali laboratoryjnej. Zastosowanie zawrotów pozwala na uzyskanie wydajności bliskiej 100 % zarówno w odniesieniu do procesu ługowania, jak i wytrącania szczawianów lantanowców.</w:t>
      </w:r>
    </w:p>
    <w:p w:rsidR="00520C6E" w:rsidRDefault="00520C6E" w:rsidP="00FF0C36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89144" cy="5039832"/>
            <wp:effectExtent l="19050" t="0" r="0" b="0"/>
            <wp:docPr id="1" name="Obraz 1" descr="C:\Users\Ania\Pictures\schemat po pol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Pictures\schemat po pols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820" cy="503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6E" w:rsidRPr="009936F7" w:rsidRDefault="00520C6E" w:rsidP="00520C6E">
      <w:pPr>
        <w:spacing w:after="0" w:line="240" w:lineRule="auto"/>
        <w:jc w:val="center"/>
        <w:rPr>
          <w:b/>
          <w:sz w:val="24"/>
          <w:szCs w:val="24"/>
        </w:rPr>
      </w:pPr>
    </w:p>
    <w:p w:rsidR="00520C6E" w:rsidRPr="00B75A83" w:rsidRDefault="00520C6E" w:rsidP="00520C6E">
      <w:pPr>
        <w:spacing w:after="120" w:line="240" w:lineRule="auto"/>
        <w:ind w:firstLine="357"/>
        <w:jc w:val="center"/>
        <w:rPr>
          <w:sz w:val="20"/>
          <w:szCs w:val="20"/>
        </w:rPr>
      </w:pPr>
      <w:r>
        <w:rPr>
          <w:b/>
          <w:sz w:val="20"/>
          <w:szCs w:val="20"/>
        </w:rPr>
        <w:t>Rys. 1</w:t>
      </w:r>
      <w:r w:rsidRPr="009936F7">
        <w:rPr>
          <w:b/>
          <w:sz w:val="20"/>
          <w:szCs w:val="20"/>
        </w:rPr>
        <w:t>.</w:t>
      </w:r>
      <w:r w:rsidRPr="00B75A83">
        <w:rPr>
          <w:sz w:val="20"/>
          <w:szCs w:val="20"/>
        </w:rPr>
        <w:t xml:space="preserve"> Schemat blokowy opracowanej metody odzysku lantanowców z magnesów stałych</w:t>
      </w:r>
    </w:p>
    <w:p w:rsidR="00BE7BB9" w:rsidRDefault="00BE7BB9"/>
    <w:sectPr w:rsidR="00BE7BB9" w:rsidSect="00BE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64E7"/>
    <w:multiLevelType w:val="hybridMultilevel"/>
    <w:tmpl w:val="692296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C0CBC"/>
    <w:multiLevelType w:val="hybridMultilevel"/>
    <w:tmpl w:val="5F000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4"/>
    <w:rsid w:val="000640AA"/>
    <w:rsid w:val="001A148D"/>
    <w:rsid w:val="002272A7"/>
    <w:rsid w:val="00520C6E"/>
    <w:rsid w:val="005F0B7C"/>
    <w:rsid w:val="00AE16D7"/>
    <w:rsid w:val="00BE7BB9"/>
    <w:rsid w:val="00D526B4"/>
    <w:rsid w:val="00D81B91"/>
    <w:rsid w:val="00D9429A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6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6B4"/>
    <w:rPr>
      <w:rFonts w:eastAsiaTheme="minorEastAsia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526B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526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526B4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6B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6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6B4"/>
    <w:rPr>
      <w:rFonts w:eastAsiaTheme="minorEastAsia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526B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526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526B4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6B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E9A64D8-4B14-4212-B8F9-17CE7A42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Lidia Dyczek</cp:lastModifiedBy>
  <cp:revision>2</cp:revision>
  <dcterms:created xsi:type="dcterms:W3CDTF">2018-12-14T10:14:00Z</dcterms:created>
  <dcterms:modified xsi:type="dcterms:W3CDTF">2018-12-14T10:14:00Z</dcterms:modified>
</cp:coreProperties>
</file>