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B94F" w14:textId="77777777" w:rsidR="00790AF7" w:rsidRPr="008F2BF1" w:rsidRDefault="00790AF7" w:rsidP="00790AF7">
      <w:pPr>
        <w:keepNext/>
        <w:keepLines/>
        <w:spacing w:before="240" w:after="0" w:line="276" w:lineRule="auto"/>
        <w:jc w:val="both"/>
        <w:outlineLvl w:val="1"/>
        <w:rPr>
          <w:rFonts w:ascii="LM Roman 12" w:eastAsia="Yu Gothic Light" w:hAnsi="LM Roman 12" w:cs="Times New Roman"/>
          <w:b/>
          <w:bCs/>
          <w:noProof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pPr>
      <w:bookmarkStart w:id="0" w:name="_Toc76394296"/>
      <w:r w:rsidRPr="008F2BF1">
        <w:rPr>
          <w:rFonts w:ascii="LM Roman 12" w:eastAsia="Yu Gothic Light" w:hAnsi="LM Roman 12" w:cs="Times New Roman"/>
          <w:b/>
          <w:bCs/>
          <w:noProof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Abstract in Polish</w:t>
      </w:r>
      <w:bookmarkEnd w:id="0"/>
    </w:p>
    <w:p w14:paraId="16FBE936" w14:textId="77777777" w:rsidR="00790AF7" w:rsidRPr="008F2BF1" w:rsidRDefault="00790AF7" w:rsidP="00790AF7">
      <w:pPr>
        <w:spacing w:after="0" w:line="276" w:lineRule="auto"/>
        <w:contextualSpacing/>
        <w:jc w:val="both"/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pP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Niniejsza praca zatytułowana „Efekty fotofizyczne w pojedynczych nanoobiektach” zrealizowana w Katedrze Inżynierii i Modelowania Materiałów Zaawansowanych na Wydziale Chemicznym Politechniki Wrocławskiej (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PWr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) została napisana pod kierownictwem dr hab. inż. Katarzyny Matczyszyn, prof.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PWr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. Oryginalnym językiem tej pracy jest język angielski.</w:t>
      </w:r>
    </w:p>
    <w:p w14:paraId="592E8A77" w14:textId="77777777" w:rsidR="00790AF7" w:rsidRPr="008F2BF1" w:rsidRDefault="00790AF7" w:rsidP="00790AF7">
      <w:pPr>
        <w:spacing w:after="0" w:line="276" w:lineRule="auto"/>
        <w:ind w:firstLine="284"/>
        <w:contextualSpacing/>
        <w:jc w:val="both"/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pP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W niniejszej pracy zebrane zostały wyniki badań eksperymentalnych i ob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li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czeniowych odpowiedzi różnych materiałów na laserowe wzbudzenie ciągłym lub femtosekundowym impulsowym promieniowaniem elektromagne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tycznym. Materiały te charakteryzują się uporządkowaniem nanoskopowym prowadzącym lub mającym potencjał do utworzenia organizacji wyższego rzędu znanej szerzej jako nanostruktury hierarchiczne. Uporządkowanie wyższego rzędu mające swoje źródło w nanostrukturze prowadzi do specyficz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nych efektów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fotofizycznych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, jak pokazano w całej niniejszej dysertacji. Niniejszy dokument podzielony jest na trzy większe sekcje.</w:t>
      </w:r>
    </w:p>
    <w:p w14:paraId="6982ECDE" w14:textId="77777777" w:rsidR="00790AF7" w:rsidRPr="008F2BF1" w:rsidRDefault="00790AF7" w:rsidP="00790AF7">
      <w:pPr>
        <w:spacing w:after="0" w:line="276" w:lineRule="auto"/>
        <w:ind w:firstLine="284"/>
        <w:contextualSpacing/>
        <w:jc w:val="both"/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pP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Sekcja wprowadzenia do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fotofizyki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obserwowanych procesów (Rozdział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begin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instrText xml:space="preserve"> REF Introduction \r \h  \* MERGEFORMAT </w:instrTex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separate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1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end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), w tym liniowej i nieliniowej luminescencji, rozpraszania Brillouina oraz plazmoniki, wraz z najważniejszymi odnośnikami literaturowymi w zakresie teorii i eksperymentu. Pokrótce zostały również przedstawione metody wykorzystane do uzyskania wyników.</w:t>
      </w:r>
    </w:p>
    <w:p w14:paraId="5EC5E13B" w14:textId="77777777" w:rsidR="00790AF7" w:rsidRPr="008F2BF1" w:rsidRDefault="00790AF7" w:rsidP="00790AF7">
      <w:pPr>
        <w:spacing w:after="0" w:line="276" w:lineRule="auto"/>
        <w:ind w:firstLine="284"/>
        <w:contextualSpacing/>
        <w:jc w:val="both"/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pP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Sekcja eksperymentalna (Rozdziały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begin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instrText xml:space="preserve"> REF Chapter_QNC_TPEL \r \h  \* MERGEFORMAT </w:instrTex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separate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2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end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-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begin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instrText xml:space="preserve"> REF Chapter_COMSOL \r \h  \* MERGEFORMAT </w:instrTex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separate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4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end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) została podzielona na krótką część wprowadzającą składającą się z: bieżącego stanu wiedzy na temat materiału próbki, opisu przygotowania próbki lub modelu oraz ze szczegółów dotyczących metod eksperymentalnych; część dotyczącą wyników i dyskusji uszczegóławiającą opis uzyskanych rezultatów; część dotyczącą podsumowania najważniejszych odkryć; część z danymi uzupełniającymi. Każda z tych części opatrzona jest istotnymi pozycjami literaturowymi znajdującymi się na końcu każdego rozdziału. Dwa z tych rozdziałów zawierają częściowo wyniki opublikowane w recenzowanych czasopismach (Rozdziały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begin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instrText xml:space="preserve"> REF Chapter_QNC_TPEL \r \h  \* MERGEFORMAT </w:instrTex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separate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2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end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i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begin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instrText xml:space="preserve"> REF Chapter_COMSOL \r \h  \* MERGEFORMAT </w:instrTex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separate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4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end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), a manuskrypt opisujący wyniki przedstawione w Rozdziale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begin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instrText xml:space="preserve"> REF Chapter_QNC_TDBS \r \h  \* MERGEFORMAT </w:instrTex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separate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3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lang w:val="en-GB"/>
          <w14:ligatures w14:val="all"/>
          <w14:numForm w14:val="lining"/>
          <w14:numSpacing w14:val="proportional"/>
          <w14:cntxtAlts/>
        </w:rPr>
        <w:fldChar w:fldCharType="end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jest w trakcie przygotowania.</w:t>
      </w:r>
    </w:p>
    <w:p w14:paraId="685E7371" w14:textId="77777777" w:rsidR="00790AF7" w:rsidRPr="008F2BF1" w:rsidRDefault="00790AF7" w:rsidP="00790AF7">
      <w:pPr>
        <w:spacing w:after="0" w:line="276" w:lineRule="auto"/>
        <w:ind w:firstLine="284"/>
        <w:contextualSpacing/>
        <w:jc w:val="both"/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pP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Wreszcie, sekcja wniosków ogólnych (Rozdział 5) dotyczy uzyskanych wyników i wniosków z nich płynących. W tej sekcji uwaga jest skupiona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lastRenderedPageBreak/>
        <w:t>na rozwiąza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nych problemach naukowych, pytaniach, na które nie znaleziono odpowiedzi, i spojrzeniu na przyszłe badania.</w:t>
      </w:r>
    </w:p>
    <w:p w14:paraId="0A7F9C2E" w14:textId="77777777" w:rsidR="00790AF7" w:rsidRPr="008F2BF1" w:rsidRDefault="00790AF7" w:rsidP="00790AF7">
      <w:pPr>
        <w:spacing w:after="0" w:line="276" w:lineRule="auto"/>
        <w:ind w:firstLine="284"/>
        <w:contextualSpacing/>
        <w:jc w:val="both"/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pP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Wyniki opisane w Rozdziałach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begin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instrText xml:space="preserve"> REF Chapter_QNC_TPEL \r \h  \* MERGEFORMAT </w:instrTex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separate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2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end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i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begin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instrText xml:space="preserve"> REF Chapter_QNC_TDBS \r \h  \* MERGEFORMAT </w:instrTex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separate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3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end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dotyczą mikrokryształów chinakry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donu z hierarchiczną nanostrukturą oraz cienkiej warstwy chinakrydonu.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Na badane kryształy składają się struktury płytkowe oraz quasi-sferyczne struk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tury w formie radialnie ustawionych nanokryształów w kształcie igieł lub szty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letów. Rozdział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begin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instrText xml:space="preserve"> REF Chapter_QNC_TPEL \r \h  \* MERGEFORMAT </w:instrTex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separate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2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end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jest poświęcony nieliniowej spektroskopii mikrokryształów chinakrydonu i cienkiej warstwy przy wykorzystaniu techniki mikroskopii dwufotonowo wzbudzanej luminescencji przy użyciu lasera femtosekundowego z synchronizacją modów w zakresie niewielkich energii w przekroju wiązki typowych dla takiego eksperymentu. Zostało pokazane, że wszystkie badane struktury wykazują dwufotonowo wzbudzoną luminescencję, jak </w:t>
      </w:r>
      <w:proofErr w:type="gram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również</w:t>
      </w:r>
      <w:proofErr w:type="gram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że genera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cja drugiej harmonicznej jest wykazywana tylko przez próbki z kryształami o dobrze rozbudowanej powierzchni. Zostały przedyskutowane potęgowa za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leżność intensywności emisji i energii wzbudzenia oraz powiązanie pomiędzy pasmami emisji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i uporządkowaniem w kryształach. Wynik dla potęgowej za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leżności wskazuje na obecność różnych mechanizmów dezaktywacji stanu wzbudzonego. Kwestia korelacji pomiędzy widmem i strukturą została prze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dyskutowana szczegółowo. Ustalono silne powiązanie pomiędzy dobrze rozwi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niętą powierzchnią kryształów wykazujących generację drugiej harmonicznej a intensywną emisją z licznych w takich strukturach stanów defektowych. Obecnie wszystkim odmianom polimorficznym chinakrydonu przypisuje się grupy przestrzenne ze środkiem inwersji, więc nie można się spodziewać gene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racji drugiej harmonicznej będącej tutaj procesem zabronionym przez syme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trię. Jednakże silnie polikrystaliczne struktury wykazują ją w wąskim zakresie widmowym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w ramach zakresu dostępnego z lasera w trakcie pomiarów, dlatego jako źródło tego procesu jest proponowane złamanie symetrii na powierzchni.</w:t>
      </w:r>
    </w:p>
    <w:p w14:paraId="5C975A4A" w14:textId="77777777" w:rsidR="00790AF7" w:rsidRPr="008F2BF1" w:rsidRDefault="00790AF7" w:rsidP="00790AF7">
      <w:pPr>
        <w:spacing w:after="0" w:line="276" w:lineRule="auto"/>
        <w:ind w:firstLine="284"/>
        <w:contextualSpacing/>
        <w:jc w:val="both"/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pP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Rozdział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begin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instrText xml:space="preserve"> REF Chapter_QNC_TDBS \r \h  \* MERGEFORMAT </w:instrTex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separate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3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end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jest poświęcony rozdzielonym w czasie pomiarom odkształcenia wywołanego wielofotonowo wzbudzaną absorpcją w cienkiej warstwie china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krydonu oraz rozległej analizie uzyskanych wyników. Techniką zastosowaną w tych pomiarach jest Rozpraszanie Brillouina w Domenie Czasu, która wy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korzystuje impulsowy laser femtosekundowy w zakresie dużych energii wiązki do wywoływania odkształceń poprzez absorpcję wiązki pompującej w war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stwie oraz próbkowania różnicowego odbicia wywołanego rozpraszaniem Brillouina na falach odkształcenia propagujących się w pod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łożu. Amplituda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lastRenderedPageBreak/>
        <w:t>tych fal wypełnia sześcienną zależność odkształcenia od ener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gii wiązki </w:t>
      </w:r>
      <w:r w:rsidRPr="008F2BF1">
        <w:rPr>
          <w:rFonts w:ascii="LM Roman 12" w:eastAsia="MS Mincho" w:hAnsi="LM Roman 12" w:cs="Times New Roman"/>
          <w:color w:val="000000"/>
          <w:spacing w:val="2"/>
          <w:sz w:val="24"/>
          <w:szCs w:val="24"/>
          <w14:ligatures w14:val="all"/>
          <w14:numForm w14:val="lining"/>
          <w14:numSpacing w14:val="proportional"/>
          <w14:cntxtAlts/>
        </w:rPr>
        <w:t>wskazując na absorpcję trzech fotonów. Dodatkowe eksperymenty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z wykorzysta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niem cza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sowo-zależnej absorpcji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superkontinuum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białego światła zostały przeprowa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dzone w celu próbkowania absorpcyjnych właściwości warstwy chinakrydonu na elektronowym poziomie podstawowym jak i dwóch pierwszych poziomach wzbudzonych. Z uzyskanych rezultatów wynika,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że mechani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zmem odpowie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dzialnym za sześcienną zależność od energii wiązki jest sekwencyjny proces absorpcji dwufotonowej z natychmiastową absorpcją trzeciego fotonu przez stany wzbudzone. Z pomiarów dyfrakcji wiązek rentgenowskich zostały wy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odrębnione współczynniki rozszerzalności termicznej różnych odmian polimor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ficznych chinakrydonu i w połączeniu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z założoną pojemnością cieplną wła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ściwą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pentacenu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, którego cząsteczka jest podobna do cząsteczki chinakry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donu, zostały uwzględnione w modelu łączącym odkształcenie z wielofotono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wymi współczynnikami absorpcji. Wartości te zostały wyznaczone dla absorpcji dwu- i trójfotonowej i wynoszą odpowiednio 1.45</w:t>
      </w:r>
      <w:r w:rsidRPr="008F2BF1">
        <w:rPr>
          <w:rFonts w:ascii="LM Roman 12" w:eastAsia="MS Mincho" w:hAnsi="LM Roman 12" w:cs="Courier New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×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10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vertAlign w:val="superscript"/>
          <w14:ligatures w14:val="all"/>
          <w14:numForm w14:val="lining"/>
          <w14:numSpacing w14:val="proportional"/>
          <w14:cntxtAlts/>
        </w:rPr>
        <w:t>-49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cm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vertAlign w:val="superscript"/>
          <w14:ligatures w14:val="all"/>
          <w14:numForm w14:val="lining"/>
          <w14:numSpacing w14:val="proportional"/>
          <w14:cntxtAlts/>
        </w:rPr>
        <w:t>4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s (14.5 GM) oraz 6.44</w:t>
      </w:r>
      <w:r w:rsidRPr="008F2BF1">
        <w:rPr>
          <w:rFonts w:ascii="LM Roman 12" w:eastAsia="MS Mincho" w:hAnsi="LM Roman 12" w:cs="Courier New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×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10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vertAlign w:val="superscript"/>
          <w14:ligatures w14:val="all"/>
          <w14:numForm w14:val="lining"/>
          <w14:numSpacing w14:val="proportional"/>
          <w14:cntxtAlts/>
        </w:rPr>
        <w:t>-79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cm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vertAlign w:val="superscript"/>
          <w14:ligatures w14:val="all"/>
          <w14:numForm w14:val="lining"/>
          <w14:numSpacing w14:val="proportional"/>
          <w14:cntxtAlts/>
        </w:rPr>
        <w:t>6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s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:vertAlign w:val="superscript"/>
          <w14:ligatures w14:val="all"/>
          <w14:numForm w14:val="lining"/>
          <w14:numSpacing w14:val="proportional"/>
          <w14:cntxtAlts/>
        </w:rPr>
        <w:t>2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, czyli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 xml:space="preserve">są stosunkowo niskie, lecz w zakresie spodziewanym dla tego typu cząsteczek. Jednakże celem tego wyznaczenia było udowodnienie możliwości wykorzystania ultraszybkiej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pikosekundowej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fotoakustyki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dla ilo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ściowego określania nieliniowych przekrojów czynnych, co może stać się alter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natywą lub dodatkową metodą pomiaru nieliniowych współczynników. Wy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niki przedstawione w Rozdziale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begin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instrText xml:space="preserve"> REF Chapter_QNC_TDBS \r \h  \* MERGEFORMAT </w:instrTex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separate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3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fldChar w:fldCharType="end"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ujawniają złożoność zjawisk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fotofizycznych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w chinakrydonie włączając dwufotonową absorpcję i absorpcję przez stany wzbudzone ze stanu zabronionego jednofotonowo. Wszystkie rezultaty opisane w tym rozdziale są wynikiem współpracy z Wydziałem Materii i Światła In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stytutu Fizyki na Uniwersytecie Rennes 1 oraz Wydziałem Chemii Instytutu Technologicznego w Massachusetts (MIT).</w:t>
      </w:r>
    </w:p>
    <w:p w14:paraId="356FB0F6" w14:textId="77777777" w:rsidR="00790AF7" w:rsidRPr="008F2BF1" w:rsidRDefault="00790AF7" w:rsidP="00790AF7">
      <w:pPr>
        <w:spacing w:after="0" w:line="276" w:lineRule="auto"/>
        <w:ind w:firstLine="284"/>
        <w:contextualSpacing/>
        <w:jc w:val="both"/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</w:pP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Rozdział 4 jest poświęcony symulacjom dimerów złotych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bipiramid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ułożo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nych w różnych konfiguracjach kątów i odległości wskazanych w literatu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rze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i uzyskanych w transmisyjnym mikroskopie elektronowym. Niniejsze studium zawiera symulacje metodą elementów skończonych dichroizmu kołowego oraz obszerny komentarz odpowiedzi badanych układów na wzbudze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nie światłem. W analiza uwzględniono wpływ podłoża na wynik symulacji dichroizmu, jakkol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wiek zauważono, że jego amplituda jest na poziomie szumu numerycznego, co wykluczyło ten czynnik z dalszych rozważań.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Z przeprowadzo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nych symulacji wypływają trzy najważniejsze obserwacje: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lastRenderedPageBreak/>
        <w:t>1) Istnieje odwrócenie znaku różni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cowej absorpcji względem rozpraszania dla pewnych kątów między nanocząstkami i ich ułożeniem na podłożu prowadzące do charakterystycz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nych widm każdej ze struktur. Mając na względzie takie zróżnicowanie wyników dla absorpcji i roz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praszania, rozważana jest możliwość określania struktur dimerów bez koniecz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ności odnoszenia się do korelacji technikami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subdyfrakcyjnymi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. 2) Występują efekty rozmiarowe dichroizmu wiążące się z odwróceniem znaku dichroizmu dla mniejszych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bipiramid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w dimerze. 3) Bardzo duży współczynnik asymetrii eks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tynkcji </w:t>
      </w:r>
      <w:r w:rsidRPr="008F2BF1">
        <w:rPr>
          <w:rFonts w:ascii="LM Roman 12" w:eastAsia="MS Mincho" w:hAnsi="LM Roman 12" w:cs="Times New Roman"/>
          <w:i/>
          <w:iCs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g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-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factor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(-0.3), czyli znormalizowana przez średni przekrój ekstynkcji różnicowa ekstynkcja, którego wartość wypada w czołówce wartości uzyski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wanych przez inne znane struktury chiralne w widzialnym zakresie widma. Tak duża wartość uzyskana przez układ dwóch nanocząstek jest obiecująca dla większych struktur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o nanoskopo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>wym uporządkowaniu złożonych ze zło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softHyphen/>
        <w:t xml:space="preserve">tych </w:t>
      </w:r>
      <w:proofErr w:type="spellStart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>bipiramid</w:t>
      </w:r>
      <w:proofErr w:type="spellEnd"/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t xml:space="preserve"> </w:t>
      </w:r>
      <w:r w:rsidRPr="008F2BF1">
        <w:rPr>
          <w:rFonts w:ascii="LM Roman 12" w:eastAsia="MS Mincho" w:hAnsi="LM Roman 12" w:cs="Times New Roman"/>
          <w:color w:val="000000"/>
          <w:sz w:val="24"/>
          <w:szCs w:val="24"/>
          <w14:ligatures w14:val="all"/>
          <w14:numForm w14:val="lining"/>
          <w14:numSpacing w14:val="proportional"/>
          <w14:cntxtAlts/>
        </w:rPr>
        <w:br/>
        <w:t>w kontekście obserwowanego wzrostu chiralności wraz ze zwiększającą się liczbą nanocząstek.</w:t>
      </w:r>
    </w:p>
    <w:p w14:paraId="3C10B197" w14:textId="3176D018" w:rsidR="00F2417B" w:rsidRPr="00790AF7" w:rsidRDefault="00F2417B" w:rsidP="00790AF7"/>
    <w:sectPr w:rsidR="00F2417B" w:rsidRPr="00790AF7" w:rsidSect="008F2BF1"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M Roman 12">
    <w:altName w:val="﷽﷽﷽﷽﷽﷽﷽﷽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F1"/>
    <w:rsid w:val="00790AF7"/>
    <w:rsid w:val="008F2BF1"/>
    <w:rsid w:val="00F2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E010"/>
  <w15:chartTrackingRefBased/>
  <w15:docId w15:val="{7ED600EF-2205-4A7C-AE4C-F43C3EC1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Deska (6190)</dc:creator>
  <cp:keywords/>
  <dc:description/>
  <cp:lastModifiedBy>Radosław Deska (6190)</cp:lastModifiedBy>
  <cp:revision>2</cp:revision>
  <dcterms:created xsi:type="dcterms:W3CDTF">2021-08-02T10:49:00Z</dcterms:created>
  <dcterms:modified xsi:type="dcterms:W3CDTF">2021-08-02T10:49:00Z</dcterms:modified>
</cp:coreProperties>
</file>